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pathwai-security-whitepaper"/>
    <w:p>
      <w:pPr>
        <w:pStyle w:val="Heading1"/>
      </w:pPr>
      <w:r>
        <w:t xml:space="preserve">PathwAI Security Whitepaper</w:t>
      </w:r>
    </w:p>
    <w:p>
      <w:pPr>
        <w:pStyle w:val="FirstParagraph"/>
      </w:pPr>
      <w:r>
        <w:rPr>
          <w:i/>
          <w:iCs/>
        </w:rPr>
        <w:t xml:space="preserve">Security architecture and HIPAA compliance overview</w:t>
      </w:r>
    </w:p>
    <w:p>
      <w:pPr>
        <w:pStyle w:val="BodyText"/>
      </w:pPr>
      <w:r>
        <w:rPr>
          <w:b/>
          <w:bCs/>
        </w:rPr>
        <w:t xml:space="preserve">Entity:</w:t>
      </w:r>
      <w:r>
        <w:t xml:space="preserve"> </w:t>
      </w:r>
      <w:r>
        <w:t xml:space="preserve">PathwAI Labs LLC</w:t>
      </w:r>
      <w:r>
        <w:t xml:space="preserve"> </w:t>
      </w:r>
      <w:r>
        <w:rPr>
          <w:b/>
          <w:bCs/>
        </w:rPr>
        <w:t xml:space="preserve">Document type:</w:t>
      </w:r>
      <w:r>
        <w:t xml:space="preserve"> </w:t>
      </w:r>
      <w:r>
        <w:t xml:space="preserve">Self-attested security overview</w:t>
      </w:r>
      <w:r>
        <w:t xml:space="preserve"> </w:t>
      </w:r>
      <w:r>
        <w:rPr>
          <w:b/>
          <w:bCs/>
        </w:rPr>
        <w:t xml:space="preserve">Version:</w:t>
      </w:r>
      <w:r>
        <w:t xml:space="preserve"> </w:t>
      </w:r>
      <w:r>
        <w:t xml:space="preserve">1.0 (full-platform scope)</w:t>
      </w:r>
      <w:r>
        <w:t xml:space="preserve"> </w:t>
      </w:r>
      <w:r>
        <w:rPr>
          <w:b/>
          <w:bCs/>
        </w:rPr>
        <w:t xml:space="preserve">Security contact:</w:t>
      </w:r>
      <w:r>
        <w:t xml:space="preserve"> </w:t>
      </w:r>
      <w:hyperlink r:id="rId9">
        <w:r>
          <w:rPr>
            <w:rStyle w:val="Hyperlink"/>
          </w:rPr>
          <w:t xml:space="preserve">security@pathwai.care</w:t>
        </w:r>
      </w:hyperlink>
      <w:r>
        <w:t xml:space="preserve"> </w:t>
      </w:r>
      <w:r>
        <w:rPr>
          <w:b/>
          <w:bCs/>
        </w:rPr>
        <w:t xml:space="preserve">Last updated:</w:t>
      </w:r>
      <w:r>
        <w:t xml:space="preserve"> </w:t>
      </w:r>
      <w:r>
        <w:t xml:space="preserve">June 2026</w:t>
      </w:r>
    </w:p>
    <w:p>
      <w:pPr>
        <w:pStyle w:val="BodyText"/>
      </w:pPr>
      <w:r>
        <w:t xml:space="preserve">This whitepaper describes the security controls PathwAI maintains. As a self-attested document, these statements describe our current architecture and operational practices. Where a control is on our roadmap rather than in place today, we say so. Third-party assessments are noted where applicable, specifically in Section 18.</w:t>
      </w:r>
    </w:p>
    <w:p>
      <w:r>
        <w:pict>
          <v:rect style="width:0;height:1.5pt" o:hralign="center" o:hrstd="t" o:hr="t"/>
        </w:pict>
      </w:r>
    </w:p>
    <w:bookmarkStart w:id="10" w:name="overview-and-scope"/>
    <w:p>
      <w:pPr>
        <w:pStyle w:val="Heading2"/>
      </w:pPr>
      <w:r>
        <w:t xml:space="preserve">1. Overview and scope</w:t>
      </w:r>
    </w:p>
    <w:p>
      <w:pPr>
        <w:pStyle w:val="FirstParagraph"/>
      </w:pPr>
      <w:r>
        <w:t xml:space="preserve">PathwAI is a multi-tenant platform for digital health companies. It spans three layers:</w:t>
      </w:r>
    </w:p>
    <w:p>
      <w:pPr>
        <w:pStyle w:val="Compact"/>
        <w:numPr>
          <w:ilvl w:val="0"/>
          <w:numId w:val="1001"/>
        </w:numPr>
      </w:pPr>
      <w:r>
        <w:rPr>
          <w:b/>
          <w:bCs/>
        </w:rPr>
        <w:t xml:space="preserve">Intake flow builder:</w:t>
      </w:r>
      <w:r>
        <w:t xml:space="preserve"> </w:t>
      </w:r>
      <w:r>
        <w:t xml:space="preserve">patient-facing eligibility, intake, and activation flows that collect configured responses, evaluate them against customer logic, and route outcomes to downstream systems.</w:t>
      </w:r>
    </w:p>
    <w:p>
      <w:pPr>
        <w:pStyle w:val="Compact"/>
        <w:numPr>
          <w:ilvl w:val="0"/>
          <w:numId w:val="1001"/>
        </w:numPr>
      </w:pPr>
      <w:r>
        <w:rPr>
          <w:b/>
          <w:bCs/>
        </w:rPr>
        <w:t xml:space="preserve">Conversion data platform (CDP):</w:t>
      </w:r>
      <w:r>
        <w:t xml:space="preserve"> </w:t>
      </w:r>
      <w:r>
        <w:t xml:space="preserve">an event pipeline that ingests events from flows and pixels, stores them durably, and forwards server-side conversion signals to ad platforms using the safeguards described in Sections 8 through 10.</w:t>
      </w:r>
    </w:p>
    <w:p>
      <w:pPr>
        <w:pStyle w:val="Compact"/>
        <w:numPr>
          <w:ilvl w:val="0"/>
          <w:numId w:val="1001"/>
        </w:numPr>
      </w:pPr>
      <w:r>
        <w:rPr>
          <w:b/>
          <w:bCs/>
        </w:rPr>
        <w:t xml:space="preserve">Audience segmentation and activation:</w:t>
      </w:r>
      <w:r>
        <w:t xml:space="preserve"> </w:t>
      </w:r>
      <w:r>
        <w:t xml:space="preserve">saved audience definitions over patient event data, synced to ad-platform audience APIs on a schedule.</w:t>
      </w:r>
    </w:p>
    <w:p>
      <w:pPr>
        <w:pStyle w:val="FirstParagraph"/>
      </w:pPr>
      <w:r>
        <w:t xml:space="preserve">This whitepaper covers all three layers. Customers purchasing only the flow builder operate within a subset of this surface; a flow-builder-scoped version of this document is available on request.</w:t>
      </w:r>
    </w:p>
    <w:p>
      <w:pPr>
        <w:pStyle w:val="BodyText"/>
      </w:pPr>
      <w:r>
        <w:t xml:space="preserve">The platform is multi-tenant, AWS-native, and architected so that Protected Health Information (PHI) is confined to infrastructure covered by Business Associate Agreements (BAAs) at every stage under PathwAI’s control. Section 21 describes the division of responsibility between PathwAI and the customer for data the customer sends and the integrations the customer connects.</w:t>
      </w:r>
    </w:p>
    <w:p>
      <w:r>
        <w:pict>
          <v:rect style="width:0;height:1.5pt" o:hralign="center" o:hrstd="t" o:hr="t"/>
        </w:pict>
      </w:r>
    </w:p>
    <w:bookmarkEnd w:id="10"/>
    <w:bookmarkStart w:id="11" w:name="architecture-summary"/>
    <w:p>
      <w:pPr>
        <w:pStyle w:val="Heading2"/>
      </w:pPr>
      <w:r>
        <w:t xml:space="preserve">2. Architecture summary</w:t>
      </w:r>
    </w:p>
    <w:p>
      <w:pPr>
        <w:pStyle w:val="FirstParagraph"/>
      </w:pPr>
      <w:r>
        <w:t xml:space="preserve">The PathwAI architecture distinguishes between application state and immutable events. Dynamic objects, including patient profiles, system configurations, and segment definitions, are stored in MongoDB. A full, append-only history of events is maintained in Tinybird. This structural separation keeps each data store a reliable projection of the master event stream while limiting where PHI accumulates.</w:t>
      </w:r>
    </w:p>
    <w:p>
      <w:pPr>
        <w:pStyle w:val="BodyText"/>
      </w:pPr>
      <w:r>
        <w:t xml:space="preserve">A single ingest endpoint (the</w:t>
      </w:r>
      <w:r>
        <w:t xml:space="preserve"> </w:t>
      </w:r>
      <w:r>
        <w:t xml:space="preserve">“beacon”</w:t>
      </w:r>
      <w:r>
        <w:t xml:space="preserve">) per tenant validates, enriches, and publishes every event. Events fan out through an internal bus to durable stores and, where a customer has configured it, to external destinations through per-destination delivery workers. Audience activation runs as a separate scheduled pipeline that evaluates segment membership and syncs the difference to ad platforms.</w:t>
      </w:r>
    </w:p>
    <w:p>
      <w:pPr>
        <w:pStyle w:val="BodyText"/>
      </w:pPr>
      <w:r>
        <w:t xml:space="preserve">Customers configure PathwAI abstractions (destinations, filters, allowlists, segments) through an admin interface. The underlying cloud resources are provisioned and reconciled by PathwAI; customers never receive direct cloud credentials or see infrastructure primitives.</w:t>
      </w:r>
    </w:p>
    <w:p>
      <w:r>
        <w:pict>
          <v:rect style="width:0;height:1.5pt" o:hralign="center" o:hrstd="t" o:hr="t"/>
        </w:pict>
      </w:r>
    </w:p>
    <w:bookmarkEnd w:id="11"/>
    <w:bookmarkStart w:id="12" w:name="hosting-and-infrastructure"/>
    <w:p>
      <w:pPr>
        <w:pStyle w:val="Heading2"/>
      </w:pPr>
      <w:r>
        <w:t xml:space="preserve">3. Hosting and infrastructure</w:t>
      </w:r>
    </w:p>
    <w:p>
      <w:pPr>
        <w:pStyle w:val="FirstParagraph"/>
      </w:pPr>
      <w:r>
        <w:t xml:space="preserve">All patient data is processed and stored in US-based data centers.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Layer</w:t>
            </w:r>
          </w:p>
        </w:tc>
        <w:tc>
          <w:tcPr/>
          <w:p>
            <w:pPr>
              <w:pStyle w:val="Compact"/>
              <w:jc w:val="left"/>
            </w:pPr>
            <w:r>
              <w:t xml:space="preserve">Provider</w:t>
            </w:r>
          </w:p>
        </w:tc>
        <w:tc>
          <w:tcPr/>
          <w:p>
            <w:pPr>
              <w:pStyle w:val="Compact"/>
              <w:jc w:val="left"/>
            </w:pPr>
            <w:r>
              <w:t xml:space="preserve">Role</w:t>
            </w:r>
          </w:p>
        </w:tc>
      </w:tr>
      <w:tr>
        <w:tc>
          <w:tcPr/>
          <w:p>
            <w:pPr>
              <w:pStyle w:val="Compact"/>
              <w:jc w:val="left"/>
            </w:pPr>
            <w:r>
              <w:t xml:space="preserve">Compute, eventing, storage</w:t>
            </w:r>
          </w:p>
        </w:tc>
        <w:tc>
          <w:tcPr/>
          <w:p>
            <w:pPr>
              <w:pStyle w:val="Compact"/>
              <w:jc w:val="left"/>
            </w:pPr>
            <w:r>
              <w:t xml:space="preserve">Amazon Web Services</w:t>
            </w:r>
          </w:p>
        </w:tc>
        <w:tc>
          <w:tcPr/>
          <w:p>
            <w:pPr>
              <w:pStyle w:val="Compact"/>
              <w:jc w:val="left"/>
            </w:pPr>
            <w:r>
              <w:t xml:space="preserve">Ingest, fan-out, delivery, operational state</w:t>
            </w:r>
          </w:p>
        </w:tc>
      </w:tr>
      <w:tr>
        <w:tc>
          <w:tcPr/>
          <w:p>
            <w:pPr>
              <w:pStyle w:val="Compact"/>
              <w:jc w:val="left"/>
            </w:pPr>
            <w:r>
              <w:t xml:space="preserve">Application hosting</w:t>
            </w:r>
          </w:p>
        </w:tc>
        <w:tc>
          <w:tcPr/>
          <w:p>
            <w:pPr>
              <w:pStyle w:val="Compact"/>
              <w:jc w:val="left"/>
            </w:pPr>
            <w:r>
              <w:t xml:space="preserve">Railway</w:t>
            </w:r>
          </w:p>
        </w:tc>
        <w:tc>
          <w:tcPr/>
          <w:p>
            <w:pPr>
              <w:pStyle w:val="Compact"/>
              <w:jc w:val="left"/>
            </w:pPr>
            <w:r>
              <w:t xml:space="preserve">Admin application and flow runner</w:t>
            </w:r>
          </w:p>
        </w:tc>
      </w:tr>
      <w:tr>
        <w:tc>
          <w:tcPr/>
          <w:p>
            <w:pPr>
              <w:pStyle w:val="Compact"/>
              <w:jc w:val="left"/>
            </w:pPr>
            <w:r>
              <w:t xml:space="preserve">Edge</w:t>
            </w:r>
          </w:p>
        </w:tc>
        <w:tc>
          <w:tcPr/>
          <w:p>
            <w:pPr>
              <w:pStyle w:val="Compact"/>
              <w:jc w:val="left"/>
            </w:pPr>
            <w:r>
              <w:t xml:space="preserve">Cloudflare</w:t>
            </w:r>
          </w:p>
        </w:tc>
        <w:tc>
          <w:tcPr/>
          <w:p>
            <w:pPr>
              <w:pStyle w:val="Compact"/>
              <w:jc w:val="left"/>
            </w:pPr>
            <w:r>
              <w:t xml:space="preserve">CDN, Web Application Firewall, DDoS mitigation</w:t>
            </w:r>
          </w:p>
        </w:tc>
      </w:tr>
      <w:tr>
        <w:tc>
          <w:tcPr/>
          <w:p>
            <w:pPr>
              <w:pStyle w:val="Compact"/>
              <w:jc w:val="left"/>
            </w:pPr>
            <w:r>
              <w:t xml:space="preserve">Primary data store</w:t>
            </w:r>
          </w:p>
        </w:tc>
        <w:tc>
          <w:tcPr/>
          <w:p>
            <w:pPr>
              <w:pStyle w:val="Compact"/>
              <w:jc w:val="left"/>
            </w:pPr>
            <w:r>
              <w:t xml:space="preserve">MongoDB Atlas</w:t>
            </w:r>
          </w:p>
        </w:tc>
        <w:tc>
          <w:tcPr/>
          <w:p>
            <w:pPr>
              <w:pStyle w:val="Compact"/>
              <w:jc w:val="left"/>
            </w:pPr>
            <w:r>
              <w:t xml:space="preserve">Configuration, profiles, definitions</w:t>
            </w:r>
          </w:p>
        </w:tc>
      </w:tr>
      <w:tr>
        <w:tc>
          <w:tcPr/>
          <w:p>
            <w:pPr>
              <w:pStyle w:val="Compact"/>
              <w:jc w:val="left"/>
            </w:pPr>
            <w:r>
              <w:t xml:space="preserve">Event analytics</w:t>
            </w:r>
          </w:p>
        </w:tc>
        <w:tc>
          <w:tcPr/>
          <w:p>
            <w:pPr>
              <w:pStyle w:val="Compact"/>
              <w:jc w:val="left"/>
            </w:pPr>
            <w:r>
              <w:t xml:space="preserve">Tinybird</w:t>
            </w:r>
          </w:p>
        </w:tc>
        <w:tc>
          <w:tcPr/>
          <w:p>
            <w:pPr>
              <w:pStyle w:val="Compact"/>
              <w:jc w:val="left"/>
            </w:pPr>
            <w:r>
              <w:t xml:space="preserve">Event history, segment evaluation</w:t>
            </w:r>
          </w:p>
        </w:tc>
      </w:tr>
    </w:tbl>
    <w:p>
      <w:pPr>
        <w:pStyle w:val="BodyText"/>
      </w:pPr>
      <w:r>
        <w:t xml:space="preserve">AWS services in use include Lambda, API Gateway, EventBridge, SQS, DynamoDB, S3, Parameter Store, ACM, and CloudWatch. Patient data is processed in US AWS regions. Cloudflare’s global edge network serves the public marketing site and non-PHI traffic; it is not a store of patient data.</w:t>
      </w:r>
    </w:p>
    <w:p>
      <w:pPr>
        <w:pStyle w:val="BodyText"/>
      </w:pPr>
      <w:r>
        <w:t xml:space="preserve">Static infrastructure is managed as code; per-tenant resources are provisioned programmatically and tagged for ownership and scope.</w:t>
      </w:r>
    </w:p>
    <w:p>
      <w:pPr>
        <w:pStyle w:val="BodyText"/>
      </w:pPr>
      <w:r>
        <w:t xml:space="preserve">Physical and environmental controls are inherited from these providers, all of which operate under their own audited compliance programs (AWS, MongoDB Atlas, and Cloudflare maintain SOC 2 and ISO 27001 attestations, among others). PathwAI does not operate its own data centers.</w:t>
      </w:r>
    </w:p>
    <w:p>
      <w:r>
        <w:pict>
          <v:rect style="width:0;height:1.5pt" o:hralign="center" o:hrstd="t" o:hr="t"/>
        </w:pict>
      </w:r>
    </w:p>
    <w:bookmarkEnd w:id="12"/>
    <w:bookmarkStart w:id="13" w:name="data-classification-and-storage"/>
    <w:p>
      <w:pPr>
        <w:pStyle w:val="Heading2"/>
      </w:pPr>
      <w:r>
        <w:t xml:space="preserve">4. Data classification and storage</w:t>
      </w:r>
    </w:p>
    <w:p>
      <w:pPr>
        <w:pStyle w:val="FirstParagraph"/>
      </w:pPr>
      <w:r>
        <w:t xml:space="preserve">PathwAI treats patient-derived data as PHI by default and is designed to confine it to BAA-covered systems.</w:t>
      </w:r>
    </w:p>
    <w:p>
      <w:pPr>
        <w:pStyle w:val="Compact"/>
        <w:numPr>
          <w:ilvl w:val="0"/>
          <w:numId w:val="1002"/>
        </w:numPr>
      </w:pPr>
      <w:r>
        <w:rPr>
          <w:b/>
          <w:bCs/>
        </w:rPr>
        <w:t xml:space="preserve">MongoDB Atlas (BAA, M10+):</w:t>
      </w:r>
      <w:r>
        <w:t xml:space="preserve"> </w:t>
      </w:r>
      <w:r>
        <w:t xml:space="preserve">organizations, users, credentials and OAuth tokens, flow and variant definitions, destination configuration, segment and activation definitions, patient profiles and current consent state, and resource mappings.</w:t>
      </w:r>
    </w:p>
    <w:p>
      <w:pPr>
        <w:pStyle w:val="Compact"/>
        <w:numPr>
          <w:ilvl w:val="0"/>
          <w:numId w:val="1002"/>
        </w:numPr>
      </w:pPr>
      <w:r>
        <w:rPr>
          <w:b/>
          <w:bCs/>
        </w:rPr>
        <w:t xml:space="preserve">Tinybird (BAA):</w:t>
      </w:r>
      <w:r>
        <w:t xml:space="preserve"> </w:t>
      </w:r>
      <w:r>
        <w:t xml:space="preserve">the raw event stream, conversion and attribution history, sync history, and delivery logs.</w:t>
      </w:r>
    </w:p>
    <w:p>
      <w:pPr>
        <w:pStyle w:val="Compact"/>
        <w:numPr>
          <w:ilvl w:val="0"/>
          <w:numId w:val="1002"/>
        </w:numPr>
      </w:pPr>
      <w:r>
        <w:rPr>
          <w:b/>
          <w:bCs/>
        </w:rPr>
        <w:t xml:space="preserve">Amazon S3 (BAA):</w:t>
      </w:r>
      <w:r>
        <w:t xml:space="preserve"> </w:t>
      </w:r>
      <w:r>
        <w:t xml:space="preserve">audience identifier snapshots, event archive beyond Tinybird retention, compiled flow bundles, and patient file uploads.</w:t>
      </w:r>
    </w:p>
    <w:p>
      <w:pPr>
        <w:pStyle w:val="Compact"/>
        <w:numPr>
          <w:ilvl w:val="0"/>
          <w:numId w:val="1002"/>
        </w:numPr>
      </w:pPr>
      <w:r>
        <w:rPr>
          <w:b/>
          <w:bCs/>
        </w:rPr>
        <w:t xml:space="preserve">Amazon DynamoDB (BAA):</w:t>
      </w:r>
      <w:r>
        <w:t xml:space="preserve"> </w:t>
      </w:r>
      <w:r>
        <w:t xml:space="preserve">hot operational state only, usage counters and idempotency/lock keys. No clinical content.</w:t>
      </w:r>
    </w:p>
    <w:p>
      <w:pPr>
        <w:pStyle w:val="FirstParagraph"/>
      </w:pPr>
      <w:r>
        <w:t xml:space="preserve">Within PathwAI’s infrastructure, raw personal identifiers are retained only in BAA-covered stores and are not written to operational caches or to systems outside the BAA boundary.</w:t>
      </w:r>
    </w:p>
    <w:p>
      <w:r>
        <w:pict>
          <v:rect style="width:0;height:1.5pt" o:hralign="center" o:hrstd="t" o:hr="t"/>
        </w:pict>
      </w:r>
    </w:p>
    <w:bookmarkEnd w:id="13"/>
    <w:bookmarkStart w:id="14" w:name="encryption"/>
    <w:p>
      <w:pPr>
        <w:pStyle w:val="Heading2"/>
      </w:pPr>
      <w:r>
        <w:t xml:space="preserve">5. Encryption</w:t>
      </w:r>
    </w:p>
    <w:p>
      <w:pPr>
        <w:pStyle w:val="FirstParagraph"/>
      </w:pPr>
      <w:r>
        <w:rPr>
          <w:b/>
          <w:bCs/>
        </w:rPr>
        <w:t xml:space="preserve">In transit:</w:t>
      </w:r>
      <w:r>
        <w:t xml:space="preserve"> </w:t>
      </w:r>
      <w:r>
        <w:t xml:space="preserve">all traffic, including patient-facing, admin, internal service-to-service, and outbound to destinations, is encrypted with TLS 1.2 or higher. Per-tenant TLS is terminated using dedicated ACM-managed certificates.</w:t>
      </w:r>
    </w:p>
    <w:p>
      <w:pPr>
        <w:pStyle w:val="BodyText"/>
      </w:pPr>
      <w:r>
        <w:rPr>
          <w:b/>
          <w:bCs/>
        </w:rPr>
        <w:t xml:space="preserve">At rest:</w:t>
      </w:r>
      <w:r>
        <w:t xml:space="preserve"> </w:t>
      </w:r>
      <w:r>
        <w:t xml:space="preserve">stored data is encrypted with AES-256 or equivalent. This includes MongoDB Atlas storage, S3 objects, DynamoDB tables, and SQS queues, the last using KMS-managed keys. Key management is handled by the cloud provider’s managed key infrastructure.</w:t>
      </w:r>
    </w:p>
    <w:p>
      <w:r>
        <w:pict>
          <v:rect style="width:0;height:1.5pt" o:hralign="center" o:hrstd="t" o:hr="t"/>
        </w:pict>
      </w:r>
    </w:p>
    <w:bookmarkEnd w:id="14"/>
    <w:bookmarkStart w:id="15" w:name="access-control-and-authentication"/>
    <w:p>
      <w:pPr>
        <w:pStyle w:val="Heading2"/>
      </w:pPr>
      <w:r>
        <w:t xml:space="preserve">6. Access control and authentication</w:t>
      </w:r>
    </w:p>
    <w:p>
      <w:pPr>
        <w:pStyle w:val="FirstParagraph"/>
      </w:pPr>
      <w:r>
        <w:rPr>
          <w:b/>
          <w:bCs/>
        </w:rPr>
        <w:t xml:space="preserve">Customer access</w:t>
      </w:r>
      <w:r>
        <w:t xml:space="preserve"> </w:t>
      </w:r>
      <w:r>
        <w:t xml:space="preserve">is invite-only and governed by role-based access control within each workspace. Workspaces are isolated by design so that one workspace is not able to read another’s data through the customer surface. SSO/SAML integration with major identity providers (Okta, Azure AD, Google Workspace) is available on the Enterprise tier, allowing access to be governed by the customer’s own identity policies.</w:t>
      </w:r>
    </w:p>
    <w:p>
      <w:pPr>
        <w:pStyle w:val="BodyText"/>
      </w:pPr>
      <w:r>
        <w:rPr>
          <w:b/>
          <w:bCs/>
        </w:rPr>
        <w:t xml:space="preserve">Staff access</w:t>
      </w:r>
      <w:r>
        <w:t xml:space="preserve"> </w:t>
      </w:r>
      <w:r>
        <w:t xml:space="preserve">to production follows least-privilege. Access to production patient data is restricted, requires justification, and is logged. Engineering and operations staff do not access patient-submitted responses in the ordinary course of operating the service.</w:t>
      </w:r>
    </w:p>
    <w:p>
      <w:pPr>
        <w:pStyle w:val="BodyText"/>
      </w:pPr>
      <w:r>
        <w:rPr>
          <w:b/>
          <w:bCs/>
        </w:rPr>
        <w:t xml:space="preserve">Credential storage:</w:t>
      </w:r>
      <w:r>
        <w:t xml:space="preserve"> </w:t>
      </w:r>
      <w:r>
        <w:t xml:space="preserve">destination and integration credentials are stored in AWS Parameter Store, scoped per tenant, and are not surfaced to other tenants or in the customer interface.</w:t>
      </w:r>
    </w:p>
    <w:p>
      <w:r>
        <w:pict>
          <v:rect style="width:0;height:1.5pt" o:hralign="center" o:hrstd="t" o:hr="t"/>
        </w:pict>
      </w:r>
    </w:p>
    <w:bookmarkEnd w:id="15"/>
    <w:bookmarkStart w:id="16" w:name="workforce-security"/>
    <w:p>
      <w:pPr>
        <w:pStyle w:val="Heading2"/>
      </w:pPr>
      <w:r>
        <w:t xml:space="preserve">7. Workforce security</w:t>
      </w:r>
    </w:p>
    <w:p>
      <w:pPr>
        <w:pStyle w:val="FirstParagraph"/>
      </w:pPr>
      <w:r>
        <w:t xml:space="preserve">Technical controls are reinforced by workforce controls, documented in PathwAI’s internal HR Security, Access Control, and Endpoint Security policies:</w:t>
      </w:r>
    </w:p>
    <w:p>
      <w:pPr>
        <w:pStyle w:val="Compact"/>
        <w:numPr>
          <w:ilvl w:val="0"/>
          <w:numId w:val="1003"/>
        </w:numPr>
      </w:pPr>
      <w:r>
        <w:t xml:space="preserve">Personnel with access to production undergo background screening consistent with role and applicable law.</w:t>
      </w:r>
    </w:p>
    <w:p>
      <w:pPr>
        <w:pStyle w:val="Compact"/>
        <w:numPr>
          <w:ilvl w:val="0"/>
          <w:numId w:val="1003"/>
        </w:numPr>
      </w:pPr>
      <w:r>
        <w:t xml:space="preserve">Security awareness training is provided at onboarding and on a recurring basis.</w:t>
      </w:r>
    </w:p>
    <w:p>
      <w:pPr>
        <w:pStyle w:val="Compact"/>
        <w:numPr>
          <w:ilvl w:val="0"/>
          <w:numId w:val="1003"/>
        </w:numPr>
      </w:pPr>
      <w:r>
        <w:t xml:space="preserve">Multi-factor authentication is required for access to administrative systems and production tooling.</w:t>
      </w:r>
    </w:p>
    <w:p>
      <w:pPr>
        <w:pStyle w:val="Compact"/>
        <w:numPr>
          <w:ilvl w:val="0"/>
          <w:numId w:val="1003"/>
        </w:numPr>
      </w:pPr>
      <w:r>
        <w:t xml:space="preserve">Company endpoints are subject to endpoint security controls, including disk encryption and configuration baselines.</w:t>
      </w:r>
    </w:p>
    <w:p>
      <w:pPr>
        <w:pStyle w:val="Compact"/>
        <w:numPr>
          <w:ilvl w:val="0"/>
          <w:numId w:val="1003"/>
        </w:numPr>
      </w:pPr>
      <w:r>
        <w:t xml:space="preserve">Access is provisioned on a least-privilege basis at onboarding and revoked promptly at role change or departure.</w:t>
      </w:r>
    </w:p>
    <w:p>
      <w:r>
        <w:pict>
          <v:rect style="width:0;height:1.5pt" o:hralign="center" o:hrstd="t" o:hr="t"/>
        </w:pict>
      </w:r>
    </w:p>
    <w:bookmarkEnd w:id="16"/>
    <w:bookmarkStart w:id="17" w:name="multi-tenancy-and-isolation"/>
    <w:p>
      <w:pPr>
        <w:pStyle w:val="Heading2"/>
      </w:pPr>
      <w:r>
        <w:t xml:space="preserve">8. Multi-tenancy and isolation</w:t>
      </w:r>
    </w:p>
    <w:p>
      <w:pPr>
        <w:pStyle w:val="FirstParagraph"/>
      </w:pPr>
      <w:r>
        <w:t xml:space="preserve">Isolation is a hard architectural constraint, enforced at multiple layers:</w:t>
      </w:r>
    </w:p>
    <w:p>
      <w:pPr>
        <w:pStyle w:val="Compact"/>
        <w:numPr>
          <w:ilvl w:val="0"/>
          <w:numId w:val="1004"/>
        </w:numPr>
      </w:pPr>
      <w:r>
        <w:t xml:space="preserve">Each tenant has a dedicated ingest subdomain and API credentials, with rate and quota enforcement per tenant.</w:t>
      </w:r>
    </w:p>
    <w:p>
      <w:pPr>
        <w:pStyle w:val="Compact"/>
        <w:numPr>
          <w:ilvl w:val="0"/>
          <w:numId w:val="1004"/>
        </w:numPr>
      </w:pPr>
      <w:r>
        <w:t xml:space="preserve">Internal routing is tenant-scoped: every event carries a tenant identifier, and per-tenant event channels separate one customer’s fan-out configuration from another’s.</w:t>
      </w:r>
    </w:p>
    <w:p>
      <w:pPr>
        <w:pStyle w:val="Compact"/>
        <w:numPr>
          <w:ilvl w:val="0"/>
          <w:numId w:val="1004"/>
        </w:numPr>
      </w:pPr>
      <w:r>
        <w:t xml:space="preserve">Outbound delivery queues are isolated per tenant and per destination, with independent concurrency limits and failure handling.</w:t>
      </w:r>
    </w:p>
    <w:p>
      <w:pPr>
        <w:pStyle w:val="Compact"/>
        <w:numPr>
          <w:ilvl w:val="0"/>
          <w:numId w:val="1004"/>
        </w:numPr>
      </w:pPr>
      <w:r>
        <w:t xml:space="preserve">Credentials, allowlists, and configuration are stored per tenant.</w:t>
      </w:r>
    </w:p>
    <w:p>
      <w:pPr>
        <w:pStyle w:val="Compact"/>
        <w:numPr>
          <w:ilvl w:val="0"/>
          <w:numId w:val="1004"/>
        </w:numPr>
      </w:pPr>
      <w:r>
        <w:t xml:space="preserve">Cloud resource access is scoped by tenant-aware IAM policies; customers never hold direct cloud credentials, so there is no cross-tenant access path through the customer surface.</w:t>
      </w:r>
    </w:p>
    <w:p>
      <w:r>
        <w:pict>
          <v:rect style="width:0;height:1.5pt" o:hralign="center" o:hrstd="t" o:hr="t"/>
        </w:pict>
      </w:r>
    </w:p>
    <w:bookmarkEnd w:id="17"/>
    <w:bookmarkStart w:id="18" w:name="data-handling-and-the-conversion-layer"/>
    <w:p>
      <w:pPr>
        <w:pStyle w:val="Heading2"/>
      </w:pPr>
      <w:r>
        <w:t xml:space="preserve">9. Data handling and the conversion layer</w:t>
      </w:r>
    </w:p>
    <w:p>
      <w:pPr>
        <w:pStyle w:val="FirstParagraph"/>
      </w:pPr>
      <w:r>
        <w:t xml:space="preserve">PathwAI is designed to transmit conversion signals to advertising platforms without exposing PHI to those platforms. The platform provides the following controls, which the customer configures and applies to the data the customer sends:</w:t>
      </w:r>
    </w:p>
    <w:p>
      <w:pPr>
        <w:pStyle w:val="BodyText"/>
      </w:pPr>
      <w:r>
        <w:rPr>
          <w:b/>
          <w:bCs/>
        </w:rPr>
        <w:t xml:space="preserve">PHI is kept inside the BAA boundary.</w:t>
      </w:r>
      <w:r>
        <w:t xml:space="preserve"> </w:t>
      </w:r>
      <w:r>
        <w:t xml:space="preserve">The platform is designed so that PHI is not transmitted to a non-BAA destination. Data sent to such destinations is limited to fields the customer has allowlisted and, where applicable, hashed.</w:t>
      </w:r>
    </w:p>
    <w:p>
      <w:pPr>
        <w:pStyle w:val="BodyText"/>
      </w:pPr>
      <w:r>
        <w:rPr>
          <w:b/>
          <w:bCs/>
        </w:rPr>
        <w:t xml:space="preserve">Identifier hashing at egress.</w:t>
      </w:r>
      <w:r>
        <w:t xml:space="preserve"> </w:t>
      </w:r>
      <w:r>
        <w:t xml:space="preserve">Personal identifiers sent to non-BAA destinations (ad platforms) are SHA-256 hashed with per-destination normalization at the point of egress, immediately before the outbound API call. Raw identifiers remain only in BAA-covered stores. Hashing at egress, rather than at ingest, preserves correct per-destination normalization and avoids exposing raw identifiers to any external party.</w:t>
      </w:r>
    </w:p>
    <w:p>
      <w:pPr>
        <w:pStyle w:val="BodyText"/>
      </w:pPr>
      <w:r>
        <w:rPr>
          <w:b/>
          <w:bCs/>
        </w:rPr>
        <w:t xml:space="preserve">Per-destination allowlists.</w:t>
      </w:r>
      <w:r>
        <w:t xml:space="preserve"> </w:t>
      </w:r>
      <w:r>
        <w:t xml:space="preserve">Each destination has its own allowlist of event properties permitted to be sent. The effective allowlist combines an organization-wide trusted set, per-destination-type defaults, and customer overrides, minus explicit exclusions. Properties not on the allowlist are stripped before delivery.</w:t>
      </w:r>
    </w:p>
    <w:p>
      <w:pPr>
        <w:pStyle w:val="BodyText"/>
      </w:pPr>
      <w:r>
        <w:rPr>
          <w:b/>
          <w:bCs/>
        </w:rPr>
        <w:t xml:space="preserve">URL redaction.</w:t>
      </w:r>
      <w:r>
        <w:t xml:space="preserve"> </w:t>
      </w:r>
      <w:r>
        <w:t xml:space="preserve">URL handling is granular, with separate controls for path, UTM parameters, and other query parameters. Paths configured as potentially clinical are redacted before transmission to non-BAA destinations.</w:t>
      </w:r>
    </w:p>
    <w:p>
      <w:pPr>
        <w:pStyle w:val="BodyText"/>
      </w:pPr>
      <w:r>
        <w:rPr>
          <w:b/>
          <w:bCs/>
        </w:rPr>
        <w:t xml:space="preserve">Defense in depth on consent.</w:t>
      </w:r>
      <w:r>
        <w:t xml:space="preserve"> </w:t>
      </w:r>
      <w:r>
        <w:t xml:space="preserve">Consent can be checked at every fan-out step, not only at ingest (see Section 10).</w:t>
      </w:r>
    </w:p>
    <w:p>
      <w:pPr>
        <w:pStyle w:val="BodyText"/>
      </w:pPr>
      <w:r>
        <w:t xml:space="preserve">Click identifiers used for conversion attribution (such as</w:t>
      </w:r>
      <w:r>
        <w:t xml:space="preserve"> </w:t>
      </w:r>
      <w:r>
        <w:rPr>
          <w:rStyle w:val="VerbatimChar"/>
        </w:rPr>
        <w:t xml:space="preserve">fbclid</w:t>
      </w:r>
      <w:r>
        <w:t xml:space="preserve">,</w:t>
      </w:r>
      <w:r>
        <w:t xml:space="preserve"> </w:t>
      </w:r>
      <w:r>
        <w:rPr>
          <w:rStyle w:val="VerbatimChar"/>
        </w:rPr>
        <w:t xml:space="preserve">gclid</w:t>
      </w:r>
      <w:r>
        <w:t xml:space="preserve">,</w:t>
      </w:r>
      <w:r>
        <w:t xml:space="preserve"> </w:t>
      </w:r>
      <w:r>
        <w:rPr>
          <w:rStyle w:val="VerbatimChar"/>
        </w:rPr>
        <w:t xml:space="preserve">ttclid</w:t>
      </w:r>
      <w:r>
        <w:t xml:space="preserve">) are correlation tokens, not personal identifiers, and are handled separately from the hashed personal-identifier path used for audience matching.</w:t>
      </w:r>
    </w:p>
    <w:p>
      <w:pPr>
        <w:pStyle w:val="BodyText"/>
      </w:pPr>
      <w:r>
        <w:t xml:space="preserve">These are tools that operate on the data and configuration the customer provides. They act on the fields and destinations the customer configures, and cannot detect or remove sensitive data that a customer places in fields its configuration does not cover. Responsibility for what data is sent, and how, rests with the customer (see Section 21).</w:t>
      </w:r>
    </w:p>
    <w:p>
      <w:r>
        <w:pict>
          <v:rect style="width:0;height:1.5pt" o:hralign="center" o:hrstd="t" o:hr="t"/>
        </w:pict>
      </w:r>
    </w:p>
    <w:bookmarkEnd w:id="18"/>
    <w:bookmarkStart w:id="19" w:name="consent-management"/>
    <w:p>
      <w:pPr>
        <w:pStyle w:val="Heading2"/>
      </w:pPr>
      <w:r>
        <w:t xml:space="preserve">10. Consent management</w:t>
      </w:r>
    </w:p>
    <w:p>
      <w:pPr>
        <w:pStyle w:val="FirstParagraph"/>
      </w:pPr>
      <w:r>
        <w:t xml:space="preserve">The platform supports capturing an end user’s consent state and propagating it with events so that it can be enforced downstream.</w:t>
      </w:r>
    </w:p>
    <w:p>
      <w:pPr>
        <w:pStyle w:val="Compact"/>
        <w:numPr>
          <w:ilvl w:val="0"/>
          <w:numId w:val="1005"/>
        </w:numPr>
      </w:pPr>
      <w:r>
        <w:rPr>
          <w:b/>
          <w:bCs/>
        </w:rPr>
        <w:t xml:space="preserve">At ingest:</w:t>
      </w:r>
      <w:r>
        <w:t xml:space="preserve"> </w:t>
      </w:r>
      <w:r>
        <w:t xml:space="preserve">the beacon can record the consent state supplied with each event onto that event.</w:t>
      </w:r>
    </w:p>
    <w:p>
      <w:pPr>
        <w:pStyle w:val="Compact"/>
        <w:numPr>
          <w:ilvl w:val="0"/>
          <w:numId w:val="1005"/>
        </w:numPr>
      </w:pPr>
      <w:r>
        <w:rPr>
          <w:b/>
          <w:bCs/>
        </w:rPr>
        <w:t xml:space="preserve">At fan-out:</w:t>
      </w:r>
      <w:r>
        <w:t xml:space="preserve"> </w:t>
      </w:r>
      <w:r>
        <w:t xml:space="preserve">destination workers can be configured to verify the relevant consent flag before delivering, so that events lacking the required consent are not delivered even where a routing rule would otherwise match them. This is a deliberate second enforcement point.</w:t>
      </w:r>
    </w:p>
    <w:p>
      <w:pPr>
        <w:pStyle w:val="Compact"/>
        <w:numPr>
          <w:ilvl w:val="0"/>
          <w:numId w:val="1005"/>
        </w:numPr>
      </w:pPr>
      <w:r>
        <w:rPr>
          <w:b/>
          <w:bCs/>
        </w:rPr>
        <w:t xml:space="preserve">For audience activation:</w:t>
      </w:r>
      <w:r>
        <w:t xml:space="preserve"> </w:t>
      </w:r>
      <w:r>
        <w:t xml:space="preserve">consent is enforced at the analytics query layer. Queries that return patient data for activation apply a hard</w:t>
      </w:r>
      <w:r>
        <w:t xml:space="preserve"> </w:t>
      </w:r>
      <w:r>
        <w:rPr>
          <w:rStyle w:val="VerbatimChar"/>
        </w:rPr>
        <w:t xml:space="preserve">consent_ad_tracking = true</w:t>
      </w:r>
      <w:r>
        <w:t xml:space="preserve"> </w:t>
      </w:r>
      <w:r>
        <w:t xml:space="preserve">filter that is not bypassable through segment logic. A patient whose record does not carry advertising consent falls out of segment membership and is removed from connected destination audiences on the next sync.</w:t>
      </w:r>
    </w:p>
    <w:p>
      <w:pPr>
        <w:pStyle w:val="FirstParagraph"/>
      </w:pPr>
      <w:r>
        <w:t xml:space="preserve">Capturing consent from end users, presenting consent controls, and determining when consent is required are the customer’s responsibility. PathwAI does not present consent interfaces to a customer’s end users and does not warrant that any feature is, by default, configured to satisfy the consent obligations applicable to a given customer or its end users.</w:t>
      </w:r>
    </w:p>
    <w:p>
      <w:r>
        <w:pict>
          <v:rect style="width:0;height:1.5pt" o:hralign="center" o:hrstd="t" o:hr="t"/>
        </w:pict>
      </w:r>
    </w:p>
    <w:bookmarkEnd w:id="19"/>
    <w:bookmarkStart w:id="20" w:name="health-context-protection"/>
    <w:p>
      <w:pPr>
        <w:pStyle w:val="Heading2"/>
      </w:pPr>
      <w:r>
        <w:t xml:space="preserve">11. Health-context protection</w:t>
      </w:r>
    </w:p>
    <w:p>
      <w:pPr>
        <w:pStyle w:val="FirstParagraph"/>
      </w:pPr>
      <w:r>
        <w:t xml:space="preserve">Ad platforms do not sign BAAs, and audience names sent to them should not reveal clinical context. Each audience activation carries a separate destination-facing name distinct from the internal segment name. The internal name may be condition-specific; the destination-facing name should be generic. The interface defaults to a generic name and flags condition-revealing terms (for example, medication or disease names) with a warning before a customer proceeds. A customer may override the warning at its discretion. Internal segment names do not leave PathwAI.</w:t>
      </w:r>
    </w:p>
    <w:p>
      <w:r>
        <w:pict>
          <v:rect style="width:0;height:1.5pt" o:hralign="center" o:hrstd="t" o:hr="t"/>
        </w:pict>
      </w:r>
    </w:p>
    <w:bookmarkEnd w:id="20"/>
    <w:bookmarkStart w:id="21" w:name="subprocessors"/>
    <w:p>
      <w:pPr>
        <w:pStyle w:val="Heading2"/>
      </w:pPr>
      <w:r>
        <w:t xml:space="preserve">12. Subprocessors</w:t>
      </w:r>
    </w:p>
    <w:p>
      <w:pPr>
        <w:pStyle w:val="FirstParagraph"/>
      </w:pPr>
      <w:r>
        <w:t xml:space="preserve">Core subprocessors engaged to deliver the platform: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Vendor</w:t>
            </w:r>
          </w:p>
        </w:tc>
        <w:tc>
          <w:tcPr/>
          <w:p>
            <w:pPr>
              <w:pStyle w:val="Compact"/>
              <w:jc w:val="left"/>
            </w:pPr>
            <w:r>
              <w:t xml:space="preserve">Purpose</w:t>
            </w:r>
          </w:p>
        </w:tc>
        <w:tc>
          <w:tcPr/>
          <w:p>
            <w:pPr>
              <w:pStyle w:val="Compact"/>
              <w:jc w:val="left"/>
            </w:pPr>
            <w:r>
              <w:t xml:space="preserve">Region</w:t>
            </w:r>
          </w:p>
        </w:tc>
        <w:tc>
          <w:tcPr/>
          <w:p>
            <w:pPr>
              <w:pStyle w:val="Compact"/>
              <w:jc w:val="left"/>
            </w:pPr>
            <w:r>
              <w:t xml:space="preserve">BAA</w:t>
            </w:r>
          </w:p>
        </w:tc>
      </w:tr>
      <w:tr>
        <w:tc>
          <w:tcPr/>
          <w:p>
            <w:pPr>
              <w:pStyle w:val="Compact"/>
              <w:jc w:val="left"/>
            </w:pPr>
            <w:r>
              <w:t xml:space="preserve">Amazon Web Services</w:t>
            </w:r>
          </w:p>
        </w:tc>
        <w:tc>
          <w:tcPr/>
          <w:p>
            <w:pPr>
              <w:pStyle w:val="Compact"/>
              <w:jc w:val="left"/>
            </w:pPr>
            <w:r>
              <w:t xml:space="preserve">Core hosting, compute, storage, eventing</w:t>
            </w:r>
          </w:p>
        </w:tc>
        <w:tc>
          <w:tcPr/>
          <w:p>
            <w:pPr>
              <w:pStyle w:val="Compact"/>
              <w:jc w:val="left"/>
            </w:pPr>
            <w:r>
              <w:t xml:space="preserve">US</w:t>
            </w:r>
          </w:p>
        </w:tc>
        <w:tc>
          <w:tcPr/>
          <w:p>
            <w:pPr>
              <w:pStyle w:val="Compact"/>
              <w:jc w:val="left"/>
            </w:pPr>
            <w:r>
              <w:t xml:space="preserve">Yes</w:t>
            </w:r>
          </w:p>
        </w:tc>
      </w:tr>
      <w:tr>
        <w:tc>
          <w:tcPr/>
          <w:p>
            <w:pPr>
              <w:pStyle w:val="Compact"/>
              <w:jc w:val="left"/>
            </w:pPr>
            <w:r>
              <w:t xml:space="preserve">Railway</w:t>
            </w:r>
          </w:p>
        </w:tc>
        <w:tc>
          <w:tcPr/>
          <w:p>
            <w:pPr>
              <w:pStyle w:val="Compact"/>
              <w:jc w:val="left"/>
            </w:pPr>
            <w:r>
              <w:t xml:space="preserve">Application hosting (runner, admin app)</w:t>
            </w:r>
          </w:p>
        </w:tc>
        <w:tc>
          <w:tcPr/>
          <w:p>
            <w:pPr>
              <w:pStyle w:val="Compact"/>
              <w:jc w:val="left"/>
            </w:pPr>
            <w:r>
              <w:t xml:space="preserve">US</w:t>
            </w:r>
          </w:p>
        </w:tc>
        <w:tc>
          <w:tcPr/>
          <w:p>
            <w:pPr>
              <w:pStyle w:val="Compact"/>
              <w:jc w:val="left"/>
            </w:pPr>
            <w:r>
              <w:t xml:space="preserve">Yes</w:t>
            </w:r>
          </w:p>
        </w:tc>
      </w:tr>
      <w:tr>
        <w:tc>
          <w:tcPr/>
          <w:p>
            <w:pPr>
              <w:pStyle w:val="Compact"/>
              <w:jc w:val="left"/>
            </w:pPr>
            <w:r>
              <w:t xml:space="preserve">Cloudflare</w:t>
            </w:r>
          </w:p>
        </w:tc>
        <w:tc>
          <w:tcPr/>
          <w:p>
            <w:pPr>
              <w:pStyle w:val="Compact"/>
              <w:jc w:val="left"/>
            </w:pPr>
            <w:r>
              <w:t xml:space="preserve">Edge delivery, WAF, DDoS</w:t>
            </w:r>
          </w:p>
        </w:tc>
        <w:tc>
          <w:tcPr/>
          <w:p>
            <w:pPr>
              <w:pStyle w:val="Compact"/>
              <w:jc w:val="left"/>
            </w:pPr>
            <w:r>
              <w:t xml:space="preserve">Global</w:t>
            </w:r>
          </w:p>
        </w:tc>
        <w:tc>
          <w:tcPr/>
          <w:p>
            <w:pPr>
              <w:pStyle w:val="Compact"/>
              <w:jc w:val="left"/>
            </w:pPr>
            <w:r>
              <w:t xml:space="preserve">Yes</w:t>
            </w:r>
          </w:p>
        </w:tc>
      </w:tr>
      <w:tr>
        <w:tc>
          <w:tcPr/>
          <w:p>
            <w:pPr>
              <w:pStyle w:val="Compact"/>
              <w:jc w:val="left"/>
            </w:pPr>
            <w:r>
              <w:t xml:space="preserve">MongoDB Atlas</w:t>
            </w:r>
          </w:p>
        </w:tc>
        <w:tc>
          <w:tcPr/>
          <w:p>
            <w:pPr>
              <w:pStyle w:val="Compact"/>
              <w:jc w:val="left"/>
            </w:pPr>
            <w:r>
              <w:t xml:space="preserve">Primary data store</w:t>
            </w:r>
          </w:p>
        </w:tc>
        <w:tc>
          <w:tcPr/>
          <w:p>
            <w:pPr>
              <w:pStyle w:val="Compact"/>
              <w:jc w:val="left"/>
            </w:pPr>
            <w:r>
              <w:t xml:space="preserve">US</w:t>
            </w:r>
          </w:p>
        </w:tc>
        <w:tc>
          <w:tcPr/>
          <w:p>
            <w:pPr>
              <w:pStyle w:val="Compact"/>
              <w:jc w:val="left"/>
            </w:pPr>
            <w:r>
              <w:t xml:space="preserve">Yes</w:t>
            </w:r>
          </w:p>
        </w:tc>
      </w:tr>
      <w:tr>
        <w:tc>
          <w:tcPr/>
          <w:p>
            <w:pPr>
              <w:pStyle w:val="Compact"/>
              <w:jc w:val="left"/>
            </w:pPr>
            <w:r>
              <w:t xml:space="preserve">Tinybird</w:t>
            </w:r>
          </w:p>
        </w:tc>
        <w:tc>
          <w:tcPr/>
          <w:p>
            <w:pPr>
              <w:pStyle w:val="Compact"/>
              <w:jc w:val="left"/>
            </w:pPr>
            <w:r>
              <w:t xml:space="preserve">Event analytics and segment evaluation</w:t>
            </w:r>
          </w:p>
        </w:tc>
        <w:tc>
          <w:tcPr/>
          <w:p>
            <w:pPr>
              <w:pStyle w:val="Compact"/>
              <w:jc w:val="left"/>
            </w:pPr>
            <w:r>
              <w:t xml:space="preserve">US</w:t>
            </w:r>
          </w:p>
        </w:tc>
        <w:tc>
          <w:tcPr/>
          <w:p>
            <w:pPr>
              <w:pStyle w:val="Compact"/>
              <w:jc w:val="left"/>
            </w:pPr>
            <w:r>
              <w:t xml:space="preserve">Yes</w:t>
            </w:r>
          </w:p>
        </w:tc>
      </w:tr>
      <w:tr>
        <w:tc>
          <w:tcPr/>
          <w:p>
            <w:pPr>
              <w:pStyle w:val="Compact"/>
              <w:jc w:val="left"/>
            </w:pPr>
            <w:r>
              <w:t xml:space="preserve">Twilio</w:t>
            </w:r>
          </w:p>
        </w:tc>
        <w:tc>
          <w:tcPr/>
          <w:p>
            <w:pPr>
              <w:pStyle w:val="Compact"/>
              <w:jc w:val="left"/>
            </w:pPr>
            <w:r>
              <w:t xml:space="preserve">SMS and voice for patient communications, where enabled</w:t>
            </w:r>
          </w:p>
        </w:tc>
        <w:tc>
          <w:tcPr/>
          <w:p>
            <w:pPr>
              <w:pStyle w:val="Compact"/>
              <w:jc w:val="left"/>
            </w:pPr>
            <w:r>
              <w:t xml:space="preserve">US</w:t>
            </w:r>
          </w:p>
        </w:tc>
        <w:tc>
          <w:tcPr/>
          <w:p>
            <w:pPr>
              <w:pStyle w:val="Compact"/>
              <w:jc w:val="left"/>
            </w:pPr>
            <w:r>
              <w:t xml:space="preserve">Yes</w:t>
            </w:r>
          </w:p>
        </w:tc>
      </w:tr>
      <w:tr>
        <w:tc>
          <w:tcPr/>
          <w:p>
            <w:pPr>
              <w:pStyle w:val="Compact"/>
              <w:jc w:val="left"/>
            </w:pPr>
            <w:r>
              <w:t xml:space="preserve">Stripe</w:t>
            </w:r>
          </w:p>
        </w:tc>
        <w:tc>
          <w:tcPr/>
          <w:p>
            <w:pPr>
              <w:pStyle w:val="Compact"/>
              <w:jc w:val="left"/>
            </w:pPr>
            <w:r>
              <w:t xml:space="preserve">Billing and subscription management</w:t>
            </w:r>
          </w:p>
        </w:tc>
        <w:tc>
          <w:tcPr/>
          <w:p>
            <w:pPr>
              <w:pStyle w:val="Compact"/>
              <w:jc w:val="left"/>
            </w:pPr>
            <w:r>
              <w:t xml:space="preserve">US / Global</w:t>
            </w:r>
          </w:p>
        </w:tc>
        <w:tc>
          <w:tcPr/>
          <w:p>
            <w:pPr>
              <w:pStyle w:val="Compact"/>
              <w:jc w:val="left"/>
            </w:pPr>
            <w:r>
              <w:t xml:space="preserve">Limited scope*</w:t>
            </w:r>
          </w:p>
        </w:tc>
      </w:tr>
    </w:tbl>
    <w:p>
      <w:pPr>
        <w:pStyle w:val="BodyText"/>
      </w:pPr>
      <w:r>
        <w:t xml:space="preserve">*Stripe processes billing and subscription data. Its BAA scope is narrow and covers a limited set of payment-related data; PathwAI does not route clinical content through Stripe.</w:t>
      </w:r>
    </w:p>
    <w:p>
      <w:pPr>
        <w:pStyle w:val="BodyText"/>
      </w:pPr>
      <w:r>
        <w:rPr>
          <w:b/>
          <w:bCs/>
        </w:rPr>
        <w:t xml:space="preserve">Customer-connected integrations.</w:t>
      </w:r>
      <w:r>
        <w:t xml:space="preserve"> </w:t>
      </w:r>
      <w:r>
        <w:t xml:space="preserve">Some capabilities are integrations a customer connects at its own discretion using its own account and credentials with the third party, for example ad-platform destinations (Meta, Google, TikTok) and customer-selected payment processing. These are enabled per customer need rather than provided to every customer by default, and are not treated as default subprocessors of the base service. Ad platforms do not sign BAAs; only hashed, consent-gated, allowlisted identifiers are transmitted to them, at the customer’s direction (see Sections 9 through 11).</w:t>
      </w:r>
    </w:p>
    <w:p>
      <w:pPr>
        <w:pStyle w:val="BodyText"/>
      </w:pPr>
      <w:r>
        <w:t xml:space="preserve">For Enterprise customers under a BAA, PathwAI provides advance notice (typically 30 days) before a new PHI-handling subprocessor is engaged, with a right to object. Subcontractor flow-down, binding any PHI-handling subprocessor to equivalent HIPAA obligations, applies under every BAA regardless of tier. A current subprocessor list is published at pathwai.care/subprocessors.</w:t>
      </w:r>
    </w:p>
    <w:p>
      <w:r>
        <w:pict>
          <v:rect style="width:0;height:1.5pt" o:hralign="center" o:hrstd="t" o:hr="t"/>
        </w:pict>
      </w:r>
    </w:p>
    <w:bookmarkEnd w:id="21"/>
    <w:bookmarkStart w:id="22" w:name="network-and-application-security"/>
    <w:p>
      <w:pPr>
        <w:pStyle w:val="Heading2"/>
      </w:pPr>
      <w:r>
        <w:t xml:space="preserve">13. Network and application security</w:t>
      </w:r>
    </w:p>
    <w:p>
      <w:pPr>
        <w:pStyle w:val="FirstParagraph"/>
      </w:pPr>
      <w:r>
        <w:t xml:space="preserve">Public endpoints sit behind Cloudflare’s WAF and DDoS mitigation. The edge deployment model limits direct exposure of application servers to the public internet. Per-tenant rate limiting and monthly quota enforcement protect against abuse and runaway clients. Inbound payloads are validated against a defined event schema before processing.</w:t>
      </w:r>
    </w:p>
    <w:p>
      <w:r>
        <w:pict>
          <v:rect style="width:0;height:1.5pt" o:hralign="center" o:hrstd="t" o:hr="t"/>
        </w:pict>
      </w:r>
    </w:p>
    <w:bookmarkEnd w:id="22"/>
    <w:bookmarkStart w:id="23" w:name="X3aea44ba447fed123c1b2d2273bcc7e4f9a4ab6"/>
    <w:p>
      <w:pPr>
        <w:pStyle w:val="Heading2"/>
      </w:pPr>
      <w:r>
        <w:t xml:space="preserve">14. Secure development and vulnerability management</w:t>
      </w:r>
    </w:p>
    <w:p>
      <w:pPr>
        <w:pStyle w:val="Compact"/>
        <w:numPr>
          <w:ilvl w:val="0"/>
          <w:numId w:val="1006"/>
        </w:numPr>
      </w:pPr>
      <w:r>
        <w:rPr>
          <w:b/>
          <w:bCs/>
        </w:rPr>
        <w:t xml:space="preserve">Change management:</w:t>
      </w:r>
      <w:r>
        <w:t xml:space="preserve"> </w:t>
      </w:r>
      <w:r>
        <w:t xml:space="preserve">infrastructure and application changes are version-controlled and reviewed before release. Infrastructure is defined as code, providing reviewable, repeatable change management.</w:t>
      </w:r>
    </w:p>
    <w:p>
      <w:pPr>
        <w:pStyle w:val="Compact"/>
        <w:numPr>
          <w:ilvl w:val="0"/>
          <w:numId w:val="1006"/>
        </w:numPr>
      </w:pPr>
      <w:r>
        <w:rPr>
          <w:b/>
          <w:bCs/>
        </w:rPr>
        <w:t xml:space="preserve">Environment separation:</w:t>
      </w:r>
      <w:r>
        <w:t xml:space="preserve"> </w:t>
      </w:r>
      <w:r>
        <w:t xml:space="preserve">development, staging, and production environments are separated, and production patient data is not used in non-production environments.</w:t>
      </w:r>
    </w:p>
    <w:p>
      <w:pPr>
        <w:pStyle w:val="Compact"/>
        <w:numPr>
          <w:ilvl w:val="0"/>
          <w:numId w:val="1006"/>
        </w:numPr>
      </w:pPr>
      <w:r>
        <w:rPr>
          <w:b/>
          <w:bCs/>
        </w:rPr>
        <w:t xml:space="preserve">Dependency management:</w:t>
      </w:r>
      <w:r>
        <w:t xml:space="preserve"> </w:t>
      </w:r>
      <w:r>
        <w:t xml:space="preserve">the dependency tree is monitored for known vulnerabilities (CVEs), with a patching cadence prioritizing critical and high-severity findings.</w:t>
      </w:r>
    </w:p>
    <w:p>
      <w:pPr>
        <w:pStyle w:val="Compact"/>
        <w:numPr>
          <w:ilvl w:val="0"/>
          <w:numId w:val="1006"/>
        </w:numPr>
      </w:pPr>
      <w:r>
        <w:rPr>
          <w:b/>
          <w:bCs/>
        </w:rPr>
        <w:t xml:space="preserve">Secrets:</w:t>
      </w:r>
      <w:r>
        <w:t xml:space="preserve"> </w:t>
      </w:r>
      <w:r>
        <w:t xml:space="preserve">credentials and secrets are held in managed secret storage, not in source control.</w:t>
      </w:r>
    </w:p>
    <w:p>
      <w:pPr>
        <w:pStyle w:val="Compact"/>
        <w:numPr>
          <w:ilvl w:val="0"/>
          <w:numId w:val="1006"/>
        </w:numPr>
      </w:pPr>
      <w:r>
        <w:rPr>
          <w:b/>
          <w:bCs/>
        </w:rPr>
        <w:t xml:space="preserve">Vulnerability handling:</w:t>
      </w:r>
      <w:r>
        <w:t xml:space="preserve"> </w:t>
      </w:r>
      <w:r>
        <w:t xml:space="preserve">identified vulnerabilities are triaged and remediated on a severity-based schedule, tracked to closure.</w:t>
      </w:r>
    </w:p>
    <w:p>
      <w:r>
        <w:pict>
          <v:rect style="width:0;height:1.5pt" o:hralign="center" o:hrstd="t" o:hr="t"/>
        </w:pict>
      </w:r>
    </w:p>
    <w:bookmarkEnd w:id="23"/>
    <w:bookmarkStart w:id="24" w:name="logging-monitoring-and-audit"/>
    <w:p>
      <w:pPr>
        <w:pStyle w:val="Heading2"/>
      </w:pPr>
      <w:r>
        <w:t xml:space="preserve">15. Logging, monitoring, and audit</w:t>
      </w:r>
    </w:p>
    <w:p>
      <w:pPr>
        <w:pStyle w:val="FirstParagraph"/>
      </w:pPr>
      <w:r>
        <w:t xml:space="preserve">Operational metrics and logs are collected through CloudWatch across compute, queuing, and delivery layers, with alarms on error rates, delivery backlogs, and provisioning failures.</w:t>
      </w:r>
    </w:p>
    <w:p>
      <w:pPr>
        <w:pStyle w:val="BodyText"/>
      </w:pPr>
      <w:r>
        <w:t xml:space="preserve">For audience activation, every sync operation is recorded as append-only history: which patient was added to or removed from which destination audience, and when, retained for a configurable window and queryable for compliance review. This capability is in place today.</w:t>
      </w:r>
    </w:p>
    <w:p>
      <w:pPr>
        <w:pStyle w:val="BodyText"/>
      </w:pPr>
      <w:r>
        <w:t xml:space="preserve">A broader administrative audit trail covering configuration changes, consent decisions, and delivery events is on PathwAI’s roadmap. Today, operational logging (CloudWatch) and append-only activation history are available; a unified administrative audit log is in development. Customers with specific audit-scope requirements should confirm current coverage with PathwAI.</w:t>
      </w:r>
    </w:p>
    <w:p>
      <w:r>
        <w:pict>
          <v:rect style="width:0;height:1.5pt" o:hralign="center" o:hrstd="t" o:hr="t"/>
        </w:pict>
      </w:r>
    </w:p>
    <w:bookmarkEnd w:id="24"/>
    <w:bookmarkStart w:id="25" w:name="business-continuity-and-data-recovery"/>
    <w:p>
      <w:pPr>
        <w:pStyle w:val="Heading2"/>
      </w:pPr>
      <w:r>
        <w:t xml:space="preserve">16. Business continuity and data recovery</w:t>
      </w:r>
    </w:p>
    <w:p>
      <w:pPr>
        <w:pStyle w:val="FirstParagraph"/>
      </w:pPr>
      <w:r>
        <w:t xml:space="preserve">Primary state in MongoDB Atlas benefits from managed backups and point-in-time recovery. Because durable stores are projections of the event stream, event data can be replayed through the normal pipeline to rebuild a store that falls behind, and audience backfills and historical replay read from durable storage and re-publish through the standard path rather than requiring separate infrastructure.</w:t>
      </w:r>
    </w:p>
    <w:p>
      <w:pPr>
        <w:pStyle w:val="BodyText"/>
      </w:pPr>
      <w:r>
        <w:t xml:space="preserve">PathwAI’s recovery objectives, backup frequency, and restore-testing cadence are documented in our internal Data Backup and Disaster Recovery policies and are available to customers under NDA on request. Recovery point and recovery time objectives are set with reference to the patient-facing nature of the service.</w:t>
      </w:r>
    </w:p>
    <w:p>
      <w:r>
        <w:pict>
          <v:rect style="width:0;height:1.5pt" o:hralign="center" o:hrstd="t" o:hr="t"/>
        </w:pict>
      </w:r>
    </w:p>
    <w:bookmarkEnd w:id="25"/>
    <w:bookmarkStart w:id="26" w:name="Xb3c11e87ebbd98e3b60e551feee05d8a51789ff"/>
    <w:p>
      <w:pPr>
        <w:pStyle w:val="Heading2"/>
      </w:pPr>
      <w:r>
        <w:t xml:space="preserve">17. Incident response and breach notification</w:t>
      </w:r>
    </w:p>
    <w:p>
      <w:pPr>
        <w:pStyle w:val="FirstParagraph"/>
      </w:pPr>
      <w:r>
        <w:t xml:space="preserve">PathwAI maintains a documented incident response process covering detection, triage, containment, notification, and post-incident review. Incidents are classified by severity with an assigned owner; severity-1 incidents trigger a post-mortem. For customers under a BAA, PathwAI notifies the customer of a security incident involving PHI within the timeframes defined in the BAA, aligned with HIPAA’s Breach Notification Rule.</w:t>
      </w:r>
    </w:p>
    <w:p>
      <w:pPr>
        <w:pStyle w:val="BodyText"/>
      </w:pPr>
      <w:r>
        <w:t xml:space="preserve">To report a suspected vulnerability or security concern, contact</w:t>
      </w:r>
      <w:r>
        <w:t xml:space="preserve"> </w:t>
      </w:r>
      <w:hyperlink r:id="rId9">
        <w:r>
          <w:rPr>
            <w:rStyle w:val="Hyperlink"/>
          </w:rPr>
          <w:t xml:space="preserve">security@pathwai.care</w:t>
        </w:r>
      </w:hyperlink>
      <w:r>
        <w:t xml:space="preserve">. We support coordinated disclosure and will acknowledge legitimate reports.</w:t>
      </w:r>
    </w:p>
    <w:p>
      <w:r>
        <w:pict>
          <v:rect style="width:0;height:1.5pt" o:hralign="center" o:hrstd="t" o:hr="t"/>
        </w:pict>
      </w:r>
    </w:p>
    <w:bookmarkEnd w:id="26"/>
    <w:bookmarkStart w:id="27" w:name="hipaa-security-rule-controls-mapping"/>
    <w:p>
      <w:pPr>
        <w:pStyle w:val="Heading2"/>
      </w:pPr>
      <w:r>
        <w:t xml:space="preserve">18. HIPAA Security Rule controls mapping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Safeguard</w:t>
            </w:r>
          </w:p>
        </w:tc>
        <w:tc>
          <w:tcPr/>
          <w:p>
            <w:pPr>
              <w:pStyle w:val="Compact"/>
              <w:jc w:val="left"/>
            </w:pPr>
            <w:r>
              <w:t xml:space="preserve">HIPAA requirement</w:t>
            </w:r>
          </w:p>
        </w:tc>
        <w:tc>
          <w:tcPr/>
          <w:p>
            <w:pPr>
              <w:pStyle w:val="Compact"/>
              <w:jc w:val="left"/>
            </w:pPr>
            <w:r>
              <w:t xml:space="preserve">How PathwAI addresses it</w:t>
            </w:r>
          </w:p>
        </w:tc>
      </w:tr>
      <w:tr>
        <w:tc>
          <w:tcPr/>
          <w:p>
            <w:pPr>
              <w:pStyle w:val="Compact"/>
              <w:jc w:val="left"/>
            </w:pPr>
            <w:r>
              <w:rPr>
                <w:b/>
                <w:bCs/>
              </w:rPr>
              <w:t xml:space="preserve">Administrative</w:t>
            </w:r>
          </w:p>
        </w:tc>
        <w:tc>
          <w:tcPr/>
          <w:p>
            <w:pPr>
              <w:pStyle w:val="Compact"/>
              <w:jc w:val="left"/>
            </w:pPr>
            <w:r>
              <w:t xml:space="preserve">Security management process</w:t>
            </w:r>
          </w:p>
        </w:tc>
        <w:tc>
          <w:tcPr/>
          <w:p>
            <w:pPr>
              <w:pStyle w:val="Compact"/>
              <w:jc w:val="left"/>
            </w:pPr>
            <w:r>
              <w:t xml:space="preserve">Risk-aware architecture, vulnerability monitoring, quota and abuse controls</w:t>
            </w:r>
          </w:p>
        </w:tc>
      </w:tr>
      <w:tr>
        <w:tc>
          <w:tcPr/>
          <w:p>
            <w:pPr>
              <w:pStyle w:val="Compact"/>
            </w:pPr>
          </w:p>
        </w:tc>
        <w:tc>
          <w:tcPr/>
          <w:p>
            <w:pPr>
              <w:pStyle w:val="Compact"/>
              <w:jc w:val="left"/>
            </w:pPr>
            <w:r>
              <w:t xml:space="preserve">Workforce security / access management</w:t>
            </w:r>
          </w:p>
        </w:tc>
        <w:tc>
          <w:tcPr/>
          <w:p>
            <w:pPr>
              <w:pStyle w:val="Compact"/>
              <w:jc w:val="left"/>
            </w:pPr>
            <w:r>
              <w:t xml:space="preserve">Least-privilege staff access, background screening, training, MFA, justification and logging</w:t>
            </w:r>
          </w:p>
        </w:tc>
      </w:tr>
      <w:tr>
        <w:tc>
          <w:tcPr/>
          <w:p>
            <w:pPr>
              <w:pStyle w:val="Compact"/>
            </w:pPr>
          </w:p>
        </w:tc>
        <w:tc>
          <w:tcPr/>
          <w:p>
            <w:pPr>
              <w:pStyle w:val="Compact"/>
              <w:jc w:val="left"/>
            </w:pPr>
            <w:r>
              <w:t xml:space="preserve">Information access management</w:t>
            </w:r>
          </w:p>
        </w:tc>
        <w:tc>
          <w:tcPr/>
          <w:p>
            <w:pPr>
              <w:pStyle w:val="Compact"/>
              <w:jc w:val="left"/>
            </w:pPr>
            <w:r>
              <w:t xml:space="preserve">Per-tenant isolation, scoped credentials, workspace separation</w:t>
            </w:r>
          </w:p>
        </w:tc>
      </w:tr>
      <w:tr>
        <w:tc>
          <w:tcPr/>
          <w:p>
            <w:pPr>
              <w:pStyle w:val="Compact"/>
            </w:pPr>
          </w:p>
        </w:tc>
        <w:tc>
          <w:tcPr/>
          <w:p>
            <w:pPr>
              <w:pStyle w:val="Compact"/>
              <w:jc w:val="left"/>
            </w:pPr>
            <w:r>
              <w:t xml:space="preserve">Contingency planning</w:t>
            </w:r>
          </w:p>
        </w:tc>
        <w:tc>
          <w:tcPr/>
          <w:p>
            <w:pPr>
              <w:pStyle w:val="Compact"/>
              <w:jc w:val="left"/>
            </w:pPr>
            <w:r>
              <w:t xml:space="preserve">Managed backups, point-in-time recovery, event replay</w:t>
            </w:r>
          </w:p>
        </w:tc>
      </w:tr>
      <w:tr>
        <w:tc>
          <w:tcPr/>
          <w:p>
            <w:pPr>
              <w:pStyle w:val="Compact"/>
            </w:pPr>
          </w:p>
        </w:tc>
        <w:tc>
          <w:tcPr/>
          <w:p>
            <w:pPr>
              <w:pStyle w:val="Compact"/>
              <w:jc w:val="left"/>
            </w:pPr>
            <w:r>
              <w:t xml:space="preserve">Business associate contracts</w:t>
            </w:r>
          </w:p>
        </w:tc>
        <w:tc>
          <w:tcPr/>
          <w:p>
            <w:pPr>
              <w:pStyle w:val="Compact"/>
              <w:jc w:val="left"/>
            </w:pPr>
            <w:r>
              <w:t xml:space="preserve">BAAs with PHI-handling subprocessors; flow-down obligations</w:t>
            </w:r>
          </w:p>
        </w:tc>
      </w:tr>
      <w:tr>
        <w:tc>
          <w:tcPr/>
          <w:p>
            <w:pPr>
              <w:pStyle w:val="Compact"/>
            </w:pPr>
          </w:p>
        </w:tc>
        <w:tc>
          <w:tcPr/>
          <w:p>
            <w:pPr>
              <w:pStyle w:val="Compact"/>
              <w:jc w:val="left"/>
            </w:pPr>
            <w:r>
              <w:t xml:space="preserve">Evaluation</w:t>
            </w:r>
          </w:p>
        </w:tc>
        <w:tc>
          <w:tcPr/>
          <w:p>
            <w:pPr>
              <w:pStyle w:val="Compact"/>
              <w:jc w:val="left"/>
            </w:pPr>
            <w:r>
              <w:t xml:space="preserve">Periodic security assessment (see Section 19)</w:t>
            </w:r>
          </w:p>
        </w:tc>
      </w:tr>
      <w:tr>
        <w:tc>
          <w:tcPr/>
          <w:p>
            <w:pPr>
              <w:pStyle w:val="Compact"/>
              <w:jc w:val="left"/>
            </w:pPr>
            <w:r>
              <w:rPr>
                <w:b/>
                <w:bCs/>
              </w:rPr>
              <w:t xml:space="preserve">Physical</w:t>
            </w:r>
          </w:p>
        </w:tc>
        <w:tc>
          <w:tcPr/>
          <w:p>
            <w:pPr>
              <w:pStyle w:val="Compact"/>
              <w:jc w:val="left"/>
            </w:pPr>
            <w:r>
              <w:t xml:space="preserve">Facility, workstation, device/media controls</w:t>
            </w:r>
          </w:p>
        </w:tc>
        <w:tc>
          <w:tcPr/>
          <w:p>
            <w:pPr>
              <w:pStyle w:val="Compact"/>
              <w:jc w:val="left"/>
            </w:pPr>
            <w:r>
              <w:t xml:space="preserve">Inherited from AWS, Railway, MongoDB Atlas, Cloudflare audited programs; endpoint controls on company devices</w:t>
            </w:r>
          </w:p>
        </w:tc>
      </w:tr>
      <w:tr>
        <w:tc>
          <w:tcPr/>
          <w:p>
            <w:pPr>
              <w:pStyle w:val="Compact"/>
              <w:jc w:val="left"/>
            </w:pPr>
            <w:r>
              <w:rPr>
                <w:b/>
                <w:bCs/>
              </w:rPr>
              <w:t xml:space="preserve">Technical</w:t>
            </w:r>
          </w:p>
        </w:tc>
        <w:tc>
          <w:tcPr/>
          <w:p>
            <w:pPr>
              <w:pStyle w:val="Compact"/>
              <w:jc w:val="left"/>
            </w:pPr>
            <w:r>
              <w:t xml:space="preserve">Access control</w:t>
            </w:r>
          </w:p>
        </w:tc>
        <w:tc>
          <w:tcPr/>
          <w:p>
            <w:pPr>
              <w:pStyle w:val="Compact"/>
              <w:jc w:val="left"/>
            </w:pPr>
            <w:r>
              <w:t xml:space="preserve">RBAC, SSO/SAML (Enterprise), per-tenant scoping</w:t>
            </w:r>
          </w:p>
        </w:tc>
      </w:tr>
      <w:tr>
        <w:tc>
          <w:tcPr/>
          <w:p>
            <w:pPr>
              <w:pStyle w:val="Compact"/>
            </w:pPr>
          </w:p>
        </w:tc>
        <w:tc>
          <w:tcPr/>
          <w:p>
            <w:pPr>
              <w:pStyle w:val="Compact"/>
              <w:jc w:val="left"/>
            </w:pPr>
            <w:r>
              <w:t xml:space="preserve">Audit controls</w:t>
            </w:r>
          </w:p>
        </w:tc>
        <w:tc>
          <w:tcPr/>
          <w:p>
            <w:pPr>
              <w:pStyle w:val="Compact"/>
              <w:jc w:val="left"/>
            </w:pPr>
            <w:r>
              <w:t xml:space="preserve">CloudWatch logging, append-only sync history; administrative audit trail in development</w:t>
            </w:r>
          </w:p>
        </w:tc>
      </w:tr>
      <w:tr>
        <w:tc>
          <w:tcPr/>
          <w:p>
            <w:pPr>
              <w:pStyle w:val="Compact"/>
            </w:pPr>
          </w:p>
        </w:tc>
        <w:tc>
          <w:tcPr/>
          <w:p>
            <w:pPr>
              <w:pStyle w:val="Compact"/>
              <w:jc w:val="left"/>
            </w:pPr>
            <w:r>
              <w:t xml:space="preserve">Integrity</w:t>
            </w:r>
          </w:p>
        </w:tc>
        <w:tc>
          <w:tcPr/>
          <w:p>
            <w:pPr>
              <w:pStyle w:val="Compact"/>
              <w:jc w:val="left"/>
            </w:pPr>
            <w:r>
              <w:t xml:space="preserve">Schema validation, idempotent writes, encryption at rest</w:t>
            </w:r>
          </w:p>
        </w:tc>
      </w:tr>
      <w:tr>
        <w:tc>
          <w:tcPr/>
          <w:p>
            <w:pPr>
              <w:pStyle w:val="Compact"/>
            </w:pPr>
          </w:p>
        </w:tc>
        <w:tc>
          <w:tcPr/>
          <w:p>
            <w:pPr>
              <w:pStyle w:val="Compact"/>
              <w:jc w:val="left"/>
            </w:pPr>
            <w:r>
              <w:t xml:space="preserve">Person/entity authentication</w:t>
            </w:r>
          </w:p>
        </w:tc>
        <w:tc>
          <w:tcPr/>
          <w:p>
            <w:pPr>
              <w:pStyle w:val="Compact"/>
              <w:jc w:val="left"/>
            </w:pPr>
            <w:r>
              <w:t xml:space="preserve">Invite-only access, identity-provider integration, MFA</w:t>
            </w:r>
          </w:p>
        </w:tc>
      </w:tr>
      <w:tr>
        <w:tc>
          <w:tcPr/>
          <w:p>
            <w:pPr>
              <w:pStyle w:val="Compact"/>
            </w:pPr>
          </w:p>
        </w:tc>
        <w:tc>
          <w:tcPr/>
          <w:p>
            <w:pPr>
              <w:pStyle w:val="Compact"/>
              <w:jc w:val="left"/>
            </w:pPr>
            <w:r>
              <w:t xml:space="preserve">Transmission security</w:t>
            </w:r>
          </w:p>
        </w:tc>
        <w:tc>
          <w:tcPr/>
          <w:p>
            <w:pPr>
              <w:pStyle w:val="Compact"/>
              <w:jc w:val="left"/>
            </w:pPr>
            <w:r>
              <w:t xml:space="preserve">TLS 1.2+ everywhere; egress hashing for non-BAA destinations</w:t>
            </w:r>
          </w:p>
        </w:tc>
      </w:tr>
    </w:tbl>
    <w:p>
      <w:r>
        <w:pict>
          <v:rect style="width:0;height:1.5pt" o:hralign="center" o:hrstd="t" o:hr="t"/>
        </w:pict>
      </w:r>
    </w:p>
    <w:bookmarkEnd w:id="27"/>
    <w:bookmarkStart w:id="28" w:name="compliance-posture-and-assessments"/>
    <w:p>
      <w:pPr>
        <w:pStyle w:val="Heading2"/>
      </w:pPr>
      <w:r>
        <w:t xml:space="preserve">19. Compliance posture and assessments</w:t>
      </w:r>
    </w:p>
    <w:p>
      <w:pPr>
        <w:pStyle w:val="FirstParagraph"/>
      </w:pPr>
      <w:r>
        <w:t xml:space="preserve">The following details our current compliance status and active assessment roadmap:</w:t>
      </w:r>
    </w:p>
    <w:p>
      <w:pPr>
        <w:pStyle w:val="Compact"/>
        <w:numPr>
          <w:ilvl w:val="0"/>
          <w:numId w:val="1007"/>
        </w:numPr>
      </w:pPr>
      <w:r>
        <w:rPr>
          <w:b/>
          <w:bCs/>
        </w:rPr>
        <w:t xml:space="preserve">HIPAA:</w:t>
      </w:r>
      <w:r>
        <w:t xml:space="preserve"> </w:t>
      </w:r>
      <w:r>
        <w:t xml:space="preserve">there is no formal third-party HIPAA certification; HIPAA does not offer one. PathwAI is designed to operate within HIPAA-regulated environments and supports the Security Rule safeguards mapped in Section 18. A BAA is available; standard published terms apply at non-Enterprise tiers, with custom terms and redlines available on the Enterprise tier.</w:t>
      </w:r>
    </w:p>
    <w:p>
      <w:pPr>
        <w:pStyle w:val="Compact"/>
        <w:numPr>
          <w:ilvl w:val="0"/>
          <w:numId w:val="1007"/>
        </w:numPr>
      </w:pPr>
      <w:r>
        <w:rPr>
          <w:b/>
          <w:bCs/>
        </w:rPr>
        <w:t xml:space="preserve">Third-party penetration testing:</w:t>
      </w:r>
      <w:r>
        <w:t xml:space="preserve"> </w:t>
      </w:r>
      <w:r>
        <w:t xml:space="preserve">a focused third-party assessment is in progress. A summary of findings is available under NDA to Enterprise customers on completion.</w:t>
      </w:r>
    </w:p>
    <w:p>
      <w:pPr>
        <w:pStyle w:val="Compact"/>
        <w:numPr>
          <w:ilvl w:val="0"/>
          <w:numId w:val="1007"/>
        </w:numPr>
      </w:pPr>
      <w:r>
        <w:rPr>
          <w:b/>
          <w:bCs/>
        </w:rPr>
        <w:t xml:space="preserve">SOC 2 / ISO 27001:</w:t>
      </w:r>
      <w:r>
        <w:t xml:space="preserve"> </w:t>
      </w:r>
      <w:r>
        <w:t xml:space="preserve">PathwAI does not currently hold a SOC 2 or ISO 27001 attestation of its own. The platform is built on infrastructure providers that do. These programs are on the roadmap.</w:t>
      </w:r>
    </w:p>
    <w:p>
      <w:pPr>
        <w:pStyle w:val="FirstParagraph"/>
      </w:pPr>
      <w:r>
        <w:t xml:space="preserve">We maintain a policy of transparency regarding our security claims and do not represent certifications that are not currently active.</w:t>
      </w:r>
    </w:p>
    <w:p>
      <w:r>
        <w:pict>
          <v:rect style="width:0;height:1.5pt" o:hralign="center" o:hrstd="t" o:hr="t"/>
        </w:pict>
      </w:r>
    </w:p>
    <w:bookmarkEnd w:id="28"/>
    <w:bookmarkStart w:id="29" w:name="data-lifecycle-and-baa"/>
    <w:p>
      <w:pPr>
        <w:pStyle w:val="Heading2"/>
      </w:pPr>
      <w:r>
        <w:t xml:space="preserve">20. Data lifecycle and BAA</w:t>
      </w:r>
    </w:p>
    <w:p>
      <w:pPr>
        <w:pStyle w:val="FirstParagraph"/>
      </w:pPr>
      <w:r>
        <w:t xml:space="preserve">A BAA governs all PHI processing and is executed before any PHI is processed. It covers permitted uses, safeguards, breach notification, subcontractor flow-down, and return or destruction of PHI at termination.</w:t>
      </w:r>
    </w:p>
    <w:p>
      <w:pPr>
        <w:pStyle w:val="BodyText"/>
      </w:pPr>
      <w:r>
        <w:t xml:space="preserve">On termination, a defined export window allows the customer to retrieve Customer Data before deletion; the BAA governs secure return or destruction of PHI specifically, and its destruction timelines control for PHI. Documented destruction confirmation is available to Enterprise customers.</w:t>
      </w:r>
    </w:p>
    <w:p>
      <w:r>
        <w:pict>
          <v:rect style="width:0;height:1.5pt" o:hralign="center" o:hrstd="t" o:hr="t"/>
        </w:pict>
      </w:r>
    </w:p>
    <w:bookmarkEnd w:id="29"/>
    <w:bookmarkStart w:id="30" w:name="shared-responsibility"/>
    <w:p>
      <w:pPr>
        <w:pStyle w:val="Heading2"/>
      </w:pPr>
      <w:r>
        <w:t xml:space="preserve">21. Shared responsibility</w:t>
      </w:r>
    </w:p>
    <w:p>
      <w:pPr>
        <w:pStyle w:val="FirstParagraph"/>
      </w:pPr>
      <w:r>
        <w:t xml:space="preserve">Security of the platform is a shared responsibility between PathwAI and the customer.</w:t>
      </w:r>
    </w:p>
    <w:p>
      <w:pPr>
        <w:pStyle w:val="BodyText"/>
      </w:pPr>
      <w:r>
        <w:rPr>
          <w:b/>
          <w:bCs/>
        </w:rPr>
        <w:t xml:space="preserve">PathwAI is responsible for:</w:t>
      </w:r>
      <w:r>
        <w:t xml:space="preserve"> </w:t>
      </w:r>
      <w:r>
        <w:t xml:space="preserve">the security of the platform infrastructure, tenant isolation, encryption in transit and at rest, credential storage, delivery infrastructure, and the availability and correct operation of the controls described in this document (allowlists, egress hashing, URL redaction, consent enforcement points, and health-context naming safeguards).</w:t>
      </w:r>
    </w:p>
    <w:p>
      <w:pPr>
        <w:pStyle w:val="BodyText"/>
      </w:pPr>
      <w:r>
        <w:rPr>
          <w:b/>
          <w:bCs/>
        </w:rPr>
        <w:t xml:space="preserve">The customer is responsible for:</w:t>
      </w:r>
      <w:r>
        <w:t xml:space="preserve"> </w:t>
      </w:r>
      <w:r>
        <w:t xml:space="preserve">determining what data it sends to the platform and which fields it includes; configuring destinations, allowlists, filters, and consent enforcement to match its own legal and contractual obligations; capturing consent from its end users and presenting any required consent interfaces; managing its own users, roles, and access within its workspace; and the lawful use of any integrations it connects using its own credentials, including advertising and analytics platforms.</w:t>
      </w:r>
    </w:p>
    <w:p>
      <w:pPr>
        <w:pStyle w:val="BodyText"/>
      </w:pPr>
      <w:r>
        <w:t xml:space="preserve">PathwAI is a technology platform that processes and transmits data at the customer’s direction. It does not direct, select, or control the data a customer chooses to send or the manner in which the customer sends it, and it has no practical ability to determine in advance whether a given field contains PHI. The controls in this document are tools the customer configures and applies; they do not, by themselves, render a customer’s data handling compliant.</w:t>
      </w:r>
    </w:p>
    <w:p>
      <w:r>
        <w:pict>
          <v:rect style="width:0;height:1.5pt" o:hralign="center" o:hrstd="t" o:hr="t"/>
        </w:pict>
      </w:r>
    </w:p>
    <w:bookmarkEnd w:id="30"/>
    <w:bookmarkStart w:id="31" w:name="contact"/>
    <w:p>
      <w:pPr>
        <w:pStyle w:val="Heading2"/>
      </w:pPr>
      <w:r>
        <w:t xml:space="preserve">22. Contact</w:t>
      </w:r>
    </w:p>
    <w:p>
      <w:pPr>
        <w:pStyle w:val="FirstParagraph"/>
      </w:pPr>
      <w:r>
        <w:t xml:space="preserve">For the latest documentation, an architecture walkthrough, NDA-gated materials, or responses in CAIQ, SIG, or custom questionnaire formats:</w:t>
      </w:r>
      <w:r>
        <w:t xml:space="preserve"> </w:t>
      </w:r>
      <w:hyperlink r:id="rId9">
        <w:r>
          <w:rPr>
            <w:rStyle w:val="Hyperlink"/>
            <w:b/>
            <w:bCs/>
          </w:rPr>
          <w:t xml:space="preserve">security@pathwai.care</w:t>
        </w:r>
      </w:hyperlink>
      <w:r>
        <w:t xml:space="preserve">.</w:t>
      </w:r>
    </w:p>
    <w:p>
      <w:pPr>
        <w:pStyle w:val="BodyText"/>
      </w:pPr>
      <w:r>
        <w:rPr>
          <w:i/>
          <w:iCs/>
        </w:rPr>
        <w:t xml:space="preserve">This document reflects PathwAI’s current security posture and is provided for evaluation purposes. It is self-attested and does not constitute a warranty or a third-party certification.</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mailto:security@pathwai.care" TargetMode="External" /></Relationships>
</file>

<file path=word/_rels/footnotes.xml.rels><?xml version="1.0" encoding="UTF-8"?><Relationships xmlns="http://schemas.openxmlformats.org/package/2006/relationships"><Relationship Type="http://schemas.openxmlformats.org/officeDocument/2006/relationships/hyperlink" Id="rId9" Target="mailto:security@pathwai.car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2026-06-03T20:44:57Z</dcterms:created>
  <dcterms:modified xsi:type="dcterms:W3CDTF">2026-06-03T20:44:57Z</dcterms:modified>
</cp:coreProperties>
</file>

<file path=docProps/custom.xml><?xml version="1.0" encoding="utf-8"?>
<Properties xmlns="http://schemas.openxmlformats.org/officeDocument/2006/custom-properties" xmlns:vt="http://schemas.openxmlformats.org/officeDocument/2006/docPropsVTypes"/>
</file>